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0" w:hanging="36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96"/>
          <w:szCs w:val="96"/>
        </w:rPr>
      </w:pPr>
      <w:r>
        <w:rPr>
          <w:rFonts w:cs="Times New Roman" w:ascii="Times New Roman" w:hAnsi="Times New Roman"/>
          <w:b/>
          <w:sz w:val="96"/>
          <w:szCs w:val="9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96"/>
          <w:szCs w:val="96"/>
        </w:rPr>
      </w:pPr>
      <w:r>
        <w:rPr>
          <w:rFonts w:cs="Times New Roman" w:ascii="Times New Roman" w:hAnsi="Times New Roman"/>
          <w:b/>
          <w:sz w:val="96"/>
          <w:szCs w:val="96"/>
        </w:rPr>
        <w:t>RAPORT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Z EWALUACJI WEWNĘTRZNEJ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PRZEPROWADZONEJ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W PRZEDSZKOLU  PUBLICZNYM NR 3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W SKOCZOWIE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Wymaganie 7.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6"/>
        </w:rPr>
      </w:pPr>
      <w:r>
        <w:rPr>
          <w:rFonts w:cs="Times New Roman" w:ascii="Times New Roman" w:hAnsi="Times New Roman"/>
          <w:b/>
          <w:sz w:val="32"/>
          <w:szCs w:val="36"/>
        </w:rPr>
        <w:t>PRZEDSZKOLE WSPÓŁPRACUJE ZE ŚRODOWISKIEM LOKALNYM  NA RZECZ WZAJEMNEGO ROZWOJU.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6"/>
        </w:rPr>
      </w:pPr>
      <w:r>
        <w:rPr>
          <w:rFonts w:cs="Times New Roman" w:ascii="Times New Roman" w:hAnsi="Times New Roman"/>
          <w:b/>
          <w:sz w:val="32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Czerwiec 2021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Charakterystyka wymagania: </w:t>
      </w:r>
    </w:p>
    <w:p>
      <w:pPr>
        <w:pStyle w:val="Nagwek1"/>
        <w:spacing w:lineRule="auto" w:line="240"/>
        <w:ind w:left="720" w:hanging="0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Przedszkole, w sposób celowy, współpracuje z instytucjami i organizacjami działającymi w środowisku lokalnym. </w:t>
      </w:r>
    </w:p>
    <w:p>
      <w:pPr>
        <w:pStyle w:val="Nagwek1"/>
        <w:spacing w:lineRule="auto" w:line="240"/>
        <w:ind w:left="720" w:hanging="0"/>
        <w:rPr/>
      </w:pPr>
      <w:r>
        <w:rPr>
          <w:rFonts w:ascii="Times New Roman" w:hAnsi="Times New Roman"/>
          <w:b w:val="false"/>
          <w:sz w:val="28"/>
          <w:szCs w:val="28"/>
        </w:rPr>
        <w:t>Współpraca przedszkola ze środowiskiem lokalnym wpływa na ich wzajemny rozwój oraz na rozwój dzieci.</w:t>
      </w:r>
    </w:p>
    <w:p>
      <w:pPr>
        <w:pStyle w:val="Nagwek1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Cel ewaluacji</w:t>
      </w:r>
      <w:r>
        <w:rPr>
          <w:rFonts w:ascii="Times New Roman" w:hAnsi="Times New Roman"/>
          <w:b w:val="false"/>
          <w:sz w:val="28"/>
          <w:szCs w:val="28"/>
        </w:rPr>
        <w:t xml:space="preserve">: </w:t>
      </w:r>
    </w:p>
    <w:p>
      <w:pPr>
        <w:pStyle w:val="Nagwek1"/>
        <w:ind w:left="1510" w:hanging="0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Ocena działań przedszkola w zakresie współpracy ze środowiskiem lokalnym. </w:t>
      </w:r>
    </w:p>
    <w:p>
      <w:pPr>
        <w:pStyle w:val="Nagwek1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Pytania kluczowe:</w:t>
      </w:r>
    </w:p>
    <w:p>
      <w:pPr>
        <w:pStyle w:val="Nagwek1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1. Czy przedszkole współpracuje z instytucjami i organizacjami działającymi w środowisku lokalnym? </w:t>
      </w:r>
    </w:p>
    <w:p>
      <w:pPr>
        <w:pStyle w:val="Nagwek1"/>
        <w:rPr/>
      </w:pPr>
      <w:r>
        <w:rPr>
          <w:rFonts w:ascii="Times New Roman" w:hAnsi="Times New Roman"/>
          <w:b w:val="false"/>
          <w:sz w:val="28"/>
          <w:szCs w:val="28"/>
        </w:rPr>
        <w:t>2. W jakim stopniu współpraca ze środowiskiem wpływa na rozwój dzieci z przedszkola</w:t>
      </w:r>
      <w:r>
        <w:rPr/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>C</w:t>
      </w:r>
      <w:r>
        <w:rPr>
          <w:rFonts w:cs="Times New Roman" w:ascii="Times New Roman" w:hAnsi="Times New Roman"/>
          <w:sz w:val="28"/>
          <w:szCs w:val="28"/>
        </w:rPr>
        <w:t>zy rodzice są zadowoleni z pracy przedszkola w zakresie współpracy zze środowiskiem lokalnym?</w:t>
      </w:r>
    </w:p>
    <w:p>
      <w:pPr>
        <w:pStyle w:val="Nagwek1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Metody badawcze:</w:t>
      </w:r>
    </w:p>
    <w:p>
      <w:pPr>
        <w:pStyle w:val="Nagwek1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1. Badanie ankietowe nauczycieli.</w:t>
      </w:r>
    </w:p>
    <w:p>
      <w:pPr>
        <w:pStyle w:val="Nagwek1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2.Badanie ankietowe rodziców.</w:t>
      </w:r>
    </w:p>
    <w:p>
      <w:pPr>
        <w:pStyle w:val="Normal"/>
        <w:ind w:left="2124" w:firstLine="708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ANALIZA ANKIETY DLA RODZICÓW</w:t>
      </w:r>
    </w:p>
    <w:p>
      <w:pPr>
        <w:pStyle w:val="Normal"/>
        <w:spacing w:lineRule="auto" w:line="259" w:before="0" w:after="160"/>
        <w:ind w:firstLine="708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W maju 2021 roku rodzice otrzymali ankiety do wypełnienia, celem poznania opinii rodziców na tematy współpracy przedszkola ze środowiskiem lokalnym. Na rozdanych 100 ankiet, powróciły 32, czyli 32%.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Przedsięwzięcia, które według opinii rodziców powinny być realizowane w ramach współpracy ze środowiskiem lokalnym. </w:t>
      </w:r>
    </w:p>
    <w:p>
      <w:pPr>
        <w:pStyle w:val="Normal"/>
        <w:suppressAutoHyphens w:val="true"/>
        <w:spacing w:lineRule="auto" w:line="240"/>
        <w:jc w:val="left"/>
        <w:textAlignment w:val="baseline"/>
        <w:rPr>
          <w:rFonts w:ascii="Liberation Serif" w:hAnsi="Liberation Serif" w:eastAsia="SimSun" w:cs="Mangal"/>
          <w:kern w:val="2"/>
          <w:sz w:val="28"/>
          <w:szCs w:val="28"/>
          <w:lang w:val="en-US" w:eastAsia="zh-CN" w:bidi="hi-IN"/>
        </w:rPr>
      </w:pPr>
      <w:r>
        <w:rPr>
          <w:rFonts w:eastAsia="SimSun" w:cs="Mangal" w:ascii="Liberation Serif" w:hAnsi="Liberation Serif"/>
          <w:kern w:val="2"/>
          <w:sz w:val="28"/>
          <w:szCs w:val="28"/>
          <w:lang w:val="en-US" w:eastAsia="zh-CN" w:bidi="hi-IN"/>
        </w:rPr>
      </w:r>
    </w:p>
    <w:tbl>
      <w:tblPr>
        <w:tblStyle w:val="Tabela-Siatka"/>
        <w:tblW w:w="56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1"/>
        <w:gridCol w:w="3969"/>
        <w:gridCol w:w="113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  <w:t>l.p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  <w:t>Rodzaj działalności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1.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wycieczki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96%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2.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Spotkania z ciekawymi ludźmi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83%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3.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Akcje charytatywne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76,8%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Imprezy sportowe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73,6%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uroczystości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68%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konkursy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68%</w:t>
            </w:r>
          </w:p>
        </w:tc>
      </w:tr>
      <w:tr>
        <w:trPr>
          <w:trHeight w:val="280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kiermasze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48%</w:t>
            </w:r>
          </w:p>
        </w:tc>
      </w:tr>
      <w:tr>
        <w:trPr>
          <w:trHeight w:val="304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Prelekcje, prezentacje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41,6%</w:t>
            </w:r>
          </w:p>
        </w:tc>
      </w:tr>
      <w:tr>
        <w:trPr>
          <w:trHeight w:val="330" w:hRule="atLeast"/>
        </w:trPr>
        <w:tc>
          <w:tcPr>
            <w:tcW w:w="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9.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projekty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38,4%</w:t>
            </w:r>
          </w:p>
        </w:tc>
      </w:tr>
    </w:tbl>
    <w:p>
      <w:pPr>
        <w:pStyle w:val="Normal"/>
        <w:spacing w:lineRule="auto" w:line="259" w:before="0" w:after="16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Przedsięwzięcia, w których według opinii rodziców, przedszkole bierze udział.</w:t>
      </w:r>
    </w:p>
    <w:tbl>
      <w:tblPr>
        <w:tblStyle w:val="Tabela-Siatka"/>
        <w:tblW w:w="56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89"/>
        <w:gridCol w:w="3969"/>
        <w:gridCol w:w="1135"/>
      </w:tblGrid>
      <w:tr>
        <w:trPr/>
        <w:tc>
          <w:tcPr>
            <w:tcW w:w="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  <w:t xml:space="preserve">l.p.   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  <w:t>Rodzaj działalności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1.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Akcje charytatywne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87,5%</w:t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2.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Konkursy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71,8%</w:t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3.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Spotkania z ciekawymi ludźmi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53,1%</w:t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Uroczystości lokalne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50%</w:t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Imprezy sportowe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43.7%</w:t>
            </w:r>
          </w:p>
        </w:tc>
      </w:tr>
      <w:tr>
        <w:trPr/>
        <w:tc>
          <w:tcPr>
            <w:tcW w:w="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Kiermasze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40,6%</w:t>
            </w:r>
          </w:p>
        </w:tc>
      </w:tr>
      <w:tr>
        <w:trPr>
          <w:trHeight w:val="437" w:hRule="atLeast"/>
        </w:trPr>
        <w:tc>
          <w:tcPr>
            <w:tcW w:w="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Projekty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31,2%</w:t>
            </w:r>
          </w:p>
        </w:tc>
      </w:tr>
      <w:tr>
        <w:trPr>
          <w:trHeight w:val="310" w:hRule="atLeast"/>
        </w:trPr>
        <w:tc>
          <w:tcPr>
            <w:tcW w:w="5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Prelekcje, prezentacje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28,1%</w:t>
            </w:r>
          </w:p>
        </w:tc>
      </w:tr>
    </w:tbl>
    <w:p>
      <w:pPr>
        <w:pStyle w:val="Normal"/>
        <w:spacing w:lineRule="auto" w:line="259" w:before="0" w:after="16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Rodzaje podmiotów działającymi w środowisku lokalnym, z którymi według rodziców przedszkole nawiązuje współpracę. </w:t>
      </w:r>
    </w:p>
    <w:tbl>
      <w:tblPr>
        <w:tblStyle w:val="Tabela-Siatka"/>
        <w:tblW w:w="71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3"/>
        <w:gridCol w:w="5367"/>
        <w:gridCol w:w="1070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  <w:t xml:space="preserve">Lp. </w:t>
            </w:r>
          </w:p>
        </w:tc>
        <w:tc>
          <w:tcPr>
            <w:tcW w:w="5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  <w:t>Rodzaj instytucji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1.</w:t>
            </w:r>
          </w:p>
        </w:tc>
        <w:tc>
          <w:tcPr>
            <w:tcW w:w="5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 xml:space="preserve">Policja 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83%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2.</w:t>
            </w:r>
          </w:p>
        </w:tc>
        <w:tc>
          <w:tcPr>
            <w:tcW w:w="5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Biblioteka Publiczna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78%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3.</w:t>
            </w:r>
          </w:p>
        </w:tc>
        <w:tc>
          <w:tcPr>
            <w:tcW w:w="5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Dom Kultury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65,6%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4.</w:t>
            </w:r>
          </w:p>
        </w:tc>
        <w:tc>
          <w:tcPr>
            <w:tcW w:w="5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Straż Pożarna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59,3%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5.</w:t>
            </w:r>
          </w:p>
        </w:tc>
        <w:tc>
          <w:tcPr>
            <w:tcW w:w="5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Szkoła Podstawowa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50%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6.</w:t>
            </w:r>
          </w:p>
        </w:tc>
        <w:tc>
          <w:tcPr>
            <w:tcW w:w="5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Poradnia Psychologiczno - Pedagogiczna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46,8%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7.</w:t>
            </w:r>
          </w:p>
        </w:tc>
        <w:tc>
          <w:tcPr>
            <w:tcW w:w="53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 xml:space="preserve">Służba Zdrowia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Zakłady pracy rodziców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28,1%</w:t>
            </w:r>
          </w:p>
        </w:tc>
      </w:tr>
    </w:tbl>
    <w:p>
      <w:pPr>
        <w:pStyle w:val="Normal"/>
        <w:spacing w:lineRule="auto" w:line="259" w:before="0" w:after="160"/>
        <w:ind w:left="-142" w:hanging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Korzyści dla dzieci i przedszkola, jakie przynosi współpraca przedszkola ze środowiskiem lokalnym.</w:t>
      </w:r>
    </w:p>
    <w:tbl>
      <w:tblPr>
        <w:tblStyle w:val="Tabela-Siatka"/>
        <w:tblW w:w="98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7856"/>
        <w:gridCol w:w="1250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  <w:t xml:space="preserve">l.p. </w:t>
            </w:r>
          </w:p>
        </w:tc>
        <w:tc>
          <w:tcPr>
            <w:tcW w:w="7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  <w:t xml:space="preserve">Korzyści </w:t>
            </w:r>
          </w:p>
        </w:tc>
        <w:tc>
          <w:tcPr>
            <w:tcW w:w="1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1.</w:t>
            </w:r>
          </w:p>
        </w:tc>
        <w:tc>
          <w:tcPr>
            <w:tcW w:w="7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 xml:space="preserve">Nabywanie nowych doświadczeń i wiedzy </w:t>
            </w:r>
          </w:p>
        </w:tc>
        <w:tc>
          <w:tcPr>
            <w:tcW w:w="1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84,3%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2.</w:t>
            </w:r>
          </w:p>
        </w:tc>
        <w:tc>
          <w:tcPr>
            <w:tcW w:w="7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Ciekawe spędzanie czasu</w:t>
            </w:r>
          </w:p>
        </w:tc>
        <w:tc>
          <w:tcPr>
            <w:tcW w:w="1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81,2%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3.</w:t>
            </w:r>
          </w:p>
        </w:tc>
        <w:tc>
          <w:tcPr>
            <w:tcW w:w="7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Rozwijanie zainteresowań</w:t>
            </w:r>
          </w:p>
        </w:tc>
        <w:tc>
          <w:tcPr>
            <w:tcW w:w="1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78,1%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4.</w:t>
            </w:r>
          </w:p>
        </w:tc>
        <w:tc>
          <w:tcPr>
            <w:tcW w:w="7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 xml:space="preserve">Uczestnictwo w życiu społecznym </w:t>
            </w:r>
          </w:p>
        </w:tc>
        <w:tc>
          <w:tcPr>
            <w:tcW w:w="1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68,7%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5.</w:t>
            </w:r>
          </w:p>
        </w:tc>
        <w:tc>
          <w:tcPr>
            <w:tcW w:w="7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Wspieranie uzdolnień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Uczenie kreatywnego, twórczego myślenia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Rozbudzanie aktywności poznawczej i twórczej</w:t>
            </w:r>
          </w:p>
        </w:tc>
        <w:tc>
          <w:tcPr>
            <w:tcW w:w="1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65,6%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6.</w:t>
            </w:r>
          </w:p>
        </w:tc>
        <w:tc>
          <w:tcPr>
            <w:tcW w:w="7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Promocja placówki w środowisku lokalnym</w:t>
            </w:r>
          </w:p>
        </w:tc>
        <w:tc>
          <w:tcPr>
            <w:tcW w:w="1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62,5%</w:t>
            </w:r>
          </w:p>
        </w:tc>
      </w:tr>
      <w:tr>
        <w:trPr>
          <w:trHeight w:val="329" w:hRule="atLeas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7.</w:t>
            </w:r>
          </w:p>
        </w:tc>
        <w:tc>
          <w:tcPr>
            <w:tcW w:w="7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Motywowanie do aktywnego czytelnictwa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Nabywanie umiejętności radzenia sobie w sytuacjach trudnych</w:t>
            </w:r>
          </w:p>
        </w:tc>
        <w:tc>
          <w:tcPr>
            <w:tcW w:w="1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59,3%</w:t>
            </w:r>
          </w:p>
        </w:tc>
      </w:tr>
      <w:tr>
        <w:trPr>
          <w:trHeight w:val="210" w:hRule="atLeas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8.</w:t>
            </w:r>
          </w:p>
        </w:tc>
        <w:tc>
          <w:tcPr>
            <w:tcW w:w="78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Podnoszenie jakości pracy przedszkola</w:t>
            </w:r>
          </w:p>
        </w:tc>
        <w:tc>
          <w:tcPr>
            <w:tcW w:w="1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50%</w:t>
            </w:r>
          </w:p>
        </w:tc>
      </w:tr>
    </w:tbl>
    <w:p>
      <w:pPr>
        <w:pStyle w:val="Normal"/>
        <w:spacing w:lineRule="auto" w:line="259" w:before="0" w:after="160"/>
        <w:ind w:left="1068" w:hanging="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93,75%</w:t>
      </w:r>
      <w:r>
        <w:rPr>
          <w:rFonts w:cs="Times New Roman" w:ascii="Times New Roman" w:hAnsi="Times New Roman"/>
          <w:sz w:val="28"/>
        </w:rPr>
        <w:t xml:space="preserve"> rodziców jest zadowolonych ze stosowania w przedszkolu sposobów rozwijania kompetencji dzieci.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Według rodziców warto zwiększyć intensywność spotkań z ciekawymi ludźmi oraz wyjścia do miejsc pracy rodziców.</w:t>
      </w:r>
    </w:p>
    <w:p>
      <w:pPr>
        <w:pStyle w:val="NormalWeb"/>
        <w:shd w:val="clear" w:color="auto" w:fill="FFFFFF"/>
        <w:spacing w:beforeAutospacing="0" w:before="0" w:afterAutospacing="0" w:after="75"/>
        <w:ind w:left="1068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PODSUMOWUJĄC:</w:t>
      </w:r>
    </w:p>
    <w:p>
      <w:pPr>
        <w:pStyle w:val="NormalWeb"/>
        <w:shd w:val="clear" w:color="auto" w:fill="FFFFFF"/>
        <w:spacing w:beforeAutospacing="0" w:before="0" w:afterAutospacing="0" w:after="75"/>
        <w:ind w:left="142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Zdaniem rodziców przedszkole współpracuje ze środowiskiem oraz instytucjami lokalnymi. Bardzo wysoko oceniają prowadzone akcje charytatywne  na terenie naszej placówki oraz konkursy, w których dzieci biorą udział. Według rodziców przedszkole organizuje różnego rodzaju formy współpracy z instytucjami, z czego najczęściej wymieniali współpracę z Policją i Biblioteką Publiczną w Skoczowie. Najniżej oceniona została współpraca ze Służbą Zdrowia i zakładami pracy rodziców. Według rodziców współpraca ze środowiskiem lokalnym przynosi korzyści dla rozwoju przedszkola oraz dzieci. Szczególnie dostrzegają umiejętność nabywania przez dzieci nowych doświadczeń, wiedzy i rozwijania zainteresowań oraz uważają, że jest to dobra forma na ciekawe spędzanie czasu. Natomiast niewielu z nich uważa, że taka współpraca podnosi jakość pracy placówki.</w:t>
      </w:r>
    </w:p>
    <w:p>
      <w:pPr>
        <w:pStyle w:val="NormalWeb"/>
        <w:shd w:val="clear" w:color="auto" w:fill="FFFFFF"/>
        <w:spacing w:beforeAutospacing="0" w:before="0" w:afterAutospacing="0" w:after="75"/>
        <w:ind w:left="142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93,75% rodziców jest zadowolonych ze sposobów współpracy przedszkola ze środowiskiem lokalnym i w przyszłości chcieliby uczestniczyć w owej współpracy  między innymi </w:t>
      </w:r>
      <w:r>
        <w:rPr>
          <w:color w:val="000000" w:themeColor="text1"/>
          <w:sz w:val="28"/>
          <w:szCs w:val="28"/>
        </w:rPr>
        <w:t>przez</w:t>
      </w:r>
      <w:r>
        <w:rPr>
          <w:color w:val="000000" w:themeColor="text1"/>
          <w:sz w:val="28"/>
          <w:szCs w:val="28"/>
        </w:rPr>
        <w:t>: wycieczki, spotkania z ciekawymi ludźmi. W mniejszym stopniu zainteresowani są prelekcjami i prezentacjami dla rodziców.</w:t>
      </w:r>
    </w:p>
    <w:p>
      <w:pPr>
        <w:pStyle w:val="Normal"/>
        <w:spacing w:lineRule="auto" w:line="259" w:before="0" w:after="16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59" w:before="0" w:after="160"/>
        <w:ind w:left="1416" w:firstLine="708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ANALIZA ANKIETY DLA NAUCZYCIELI</w:t>
      </w:r>
    </w:p>
    <w:p>
      <w:pPr>
        <w:pStyle w:val="Normal"/>
        <w:spacing w:lineRule="auto" w:line="259" w:before="0" w:after="160"/>
        <w:ind w:left="-426" w:hanging="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100% nauczycieli przedszkola wypełniło ankiety, których celem było poznanie potrzeb w zakresie współpracy ze środowiskiem lokalnym.</w:t>
      </w:r>
    </w:p>
    <w:p>
      <w:pPr>
        <w:pStyle w:val="Normal"/>
        <w:numPr>
          <w:ilvl w:val="0"/>
          <w:numId w:val="2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Wszyscy nauczyciele podejmują działania na rzecz współpracy ze środowiskiem lokalnym.</w:t>
      </w:r>
    </w:p>
    <w:p>
      <w:pPr>
        <w:pStyle w:val="Normal"/>
        <w:numPr>
          <w:ilvl w:val="0"/>
          <w:numId w:val="2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Główną trudnością w realizacji celów była pandemia (100%), 25% wymieniło jeszcze brak chęci współpracy ze strony środowiska lokalnego, usytuowanie przedszkola w środowisku oraz grupa wiekowa (np. dz. 3-letnie).</w:t>
      </w:r>
    </w:p>
    <w:p>
      <w:pPr>
        <w:pStyle w:val="Normal"/>
        <w:numPr>
          <w:ilvl w:val="0"/>
          <w:numId w:val="2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Uczestnictwo w przedsięwzięciach</w:t>
      </w:r>
    </w:p>
    <w:p>
      <w:pPr>
        <w:pStyle w:val="Normal"/>
        <w:spacing w:lineRule="auto" w:line="259" w:before="0" w:after="160"/>
        <w:ind w:left="-66" w:hanging="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Tabela-Siatka"/>
        <w:tblW w:w="7291" w:type="dxa"/>
        <w:jc w:val="left"/>
        <w:tblInd w:w="-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7"/>
        <w:gridCol w:w="5530"/>
        <w:gridCol w:w="1134"/>
      </w:tblGrid>
      <w:tr>
        <w:trPr/>
        <w:tc>
          <w:tcPr>
            <w:tcW w:w="6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 xml:space="preserve">l.p. </w:t>
            </w:r>
          </w:p>
        </w:tc>
        <w:tc>
          <w:tcPr>
            <w:tcW w:w="5530" w:type="dxa"/>
            <w:tcBorders/>
          </w:tcPr>
          <w:p>
            <w:pPr>
              <w:pStyle w:val="Normal"/>
              <w:keepNext w:val="true"/>
              <w:keepLines/>
              <w:widowControl/>
              <w:numPr>
                <w:ilvl w:val="0"/>
                <w:numId w:val="0"/>
              </w:numPr>
              <w:spacing w:lineRule="auto" w:line="240" w:before="40" w:after="0"/>
              <w:jc w:val="left"/>
              <w:outlineLvl w:val="2"/>
              <w:rPr>
                <w:rFonts w:ascii="Times New Roman" w:hAnsi="Times New Roman" w:eastAsia="" w:cs="Times New Roman" w:eastAsiaTheme="majorEastAsia"/>
                <w:color w:val="1F3763" w:themeColor="accent1" w:themeShade="7f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ajorEastAsia"/>
                <w:color w:val="000000" w:themeColor="text1"/>
                <w:kern w:val="0"/>
                <w:sz w:val="28"/>
                <w:szCs w:val="28"/>
                <w:lang w:val="pl-PL" w:eastAsia="en-US" w:bidi="ar-SA"/>
              </w:rPr>
              <w:t>Przedsięwzięcia organizowane w środowisku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1.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konkursy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100%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2.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Uroczystości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Akcje charytatywne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87,5%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3.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wycieczki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75%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Spotkania z ciekawymi ludźmi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Imprezy sportowe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62,5%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projekty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50%</w:t>
            </w:r>
          </w:p>
        </w:tc>
      </w:tr>
      <w:tr>
        <w:trPr/>
        <w:tc>
          <w:tcPr>
            <w:tcW w:w="627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6.</w:t>
            </w:r>
          </w:p>
        </w:tc>
        <w:tc>
          <w:tcPr>
            <w:tcW w:w="5530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Kiermasze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Prelekcje, prezentacje</w:t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Wizyty w zakładach pracy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25%</w:t>
            </w:r>
          </w:p>
        </w:tc>
      </w:tr>
    </w:tbl>
    <w:p>
      <w:pPr>
        <w:pStyle w:val="Normal"/>
        <w:spacing w:lineRule="auto" w:line="259" w:before="0" w:after="160"/>
        <w:ind w:left="-66" w:hanging="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2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Wszyscy nauczyciele są zdania, że podejmowana współpraca ze środowiskiem przyczyniła się do rozwoju dziecka.</w:t>
      </w:r>
    </w:p>
    <w:p>
      <w:pPr>
        <w:pStyle w:val="Normal"/>
        <w:spacing w:lineRule="auto" w:line="259" w:before="0" w:after="160"/>
        <w:ind w:left="-66" w:hanging="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numPr>
          <w:ilvl w:val="0"/>
          <w:numId w:val="2"/>
        </w:numPr>
        <w:spacing w:lineRule="auto" w:line="259" w:before="0" w:after="160"/>
        <w:contextualSpacing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Korzyści wynikające dla przedszkola ze wzajemnej współpracy .</w:t>
      </w:r>
    </w:p>
    <w:p>
      <w:pPr>
        <w:pStyle w:val="Normal"/>
        <w:spacing w:lineRule="auto" w:line="259" w:before="0" w:after="160"/>
        <w:jc w:val="lef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Style w:val="Tabela-Siatka"/>
        <w:tblW w:w="85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3"/>
        <w:gridCol w:w="6935"/>
        <w:gridCol w:w="993"/>
      </w:tblGrid>
      <w:tr>
        <w:trPr/>
        <w:tc>
          <w:tcPr>
            <w:tcW w:w="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l.p.</w:t>
            </w:r>
          </w:p>
        </w:tc>
        <w:tc>
          <w:tcPr>
            <w:tcW w:w="6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 xml:space="preserve">Korzyści 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1.</w:t>
            </w:r>
          </w:p>
        </w:tc>
        <w:tc>
          <w:tcPr>
            <w:tcW w:w="6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Promocja placówki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Integracja społeczności lokalnej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Uatrakcyjnienie edukacji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Kształtowanie poczucia tożsamości i przynależności lokalnej dzieci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Rozwijanie talentów i zainteresowań dzieci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100%</w:t>
            </w:r>
          </w:p>
        </w:tc>
      </w:tr>
      <w:tr>
        <w:trPr/>
        <w:tc>
          <w:tcPr>
            <w:tcW w:w="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2.</w:t>
            </w:r>
          </w:p>
        </w:tc>
        <w:tc>
          <w:tcPr>
            <w:tcW w:w="6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Poznanie środowiska lokalnego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Wszechstronny rozwój dzieci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87,5%</w:t>
            </w:r>
          </w:p>
        </w:tc>
      </w:tr>
      <w:tr>
        <w:trPr>
          <w:trHeight w:val="390" w:hRule="atLeast"/>
        </w:trPr>
        <w:tc>
          <w:tcPr>
            <w:tcW w:w="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3.</w:t>
            </w:r>
          </w:p>
        </w:tc>
        <w:tc>
          <w:tcPr>
            <w:tcW w:w="6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Wymiana doświadczeń i możliwości konsultacji ze specjalistami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75%</w:t>
            </w:r>
          </w:p>
        </w:tc>
      </w:tr>
      <w:tr>
        <w:trPr>
          <w:trHeight w:val="250" w:hRule="atLeast"/>
        </w:trPr>
        <w:tc>
          <w:tcPr>
            <w:tcW w:w="5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4.</w:t>
            </w:r>
          </w:p>
        </w:tc>
        <w:tc>
          <w:tcPr>
            <w:tcW w:w="6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Pozyskiwanie sponsorów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2"/>
                <w:lang w:val="pl-PL" w:eastAsia="en-US" w:bidi="ar-SA"/>
              </w:rPr>
              <w:t>62,5%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Podsumowują ankiety przeprowadzone wśród nauczycieli można stwierdzić, że nauczyciele współpracują ze środowiskiem i instytucjami lokalnymi. Według n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ich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owa współpraca przynosi pozytywne efekty dla promocji przedszkola, uatrakcyjnienia edukacji  oraz wszechstronnego rozwoju dzieci. Według przeprowadzonych ankiet wśród nauczycieli wynika, że dużą uwagę przywiązuje się do organizacji i uczestnictwa w konkursach, w uroczystościach i w akcjach charytatywnych. W mniejszym stopniu przeprowadzane były kiermasze, prelekcje, prezentacje i wizyty w zakładach pracy rodziców. Wszyscy nauczyciele są zgodni, że główną przeszkodą w realizacji współpracy ze środowiskiem lokalnym była pandemia, która w znacznym stopniu ograniczyła działalność we wszystkich sferach życia.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Także usytuowanie przedszkola i wiek dzieci ma znaczenie przy organizacji takiej współpracy.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Mocne i słabe strony przedszkola.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Po analizie wyników ankiet można określić mocne i słabe strony przedszkola.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MOCNE STRONY: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Przedszkole współpracuje ze środowiskiem lokalnym i angażuje rodziców do akcji charytatywnych oraz dzieci do udziału w konkursach.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Rodzice zauważają, że placówka stwarza warunki do rozwijania wiedzy, zainteresowań, nabywania doświadczeń u swoich dzieci.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Współpraca placówki ze środowiskiem lokalnym korzystnie wpływa na rozwój dzieci i wizerunek przedszkola jako instytucji dbającej o jakość kształcenia. 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Poprzez działalność nauczycieli na rzecz współpracy z rodzicami, instytucjami i innymi podmiotami środowiska lokalnego przedszkole jest dostrzegane w środowisku.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SŁABE STRONY:</w:t>
      </w:r>
    </w:p>
    <w:p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Rodzice nie zawsze mają wiedzę o wszystkich działaniach nauczycieli podejmowanych we współpracy ze środowiskiem lokalnym.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WNIOSKI: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Przed rozpoczęciem wszelkich działań uświadomić rodziców o celowości tych działań.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Umieszczać na stronie internetowej przedszkola informacji o odbywających się konkursach, sukcesach, czy podejmowanych działań we współpracy ze środowiskiem lokalnym.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W dalszym ciągu utrzymywać wysoki poziom współpracy ze środowiskiem lokalnym.</w:t>
      </w:r>
    </w:p>
    <w:p>
      <w:pPr>
        <w:pStyle w:val="Normal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Opracował zespół do spraw ewaluacji:</w:t>
      </w:r>
    </w:p>
    <w:p>
      <w:pPr>
        <w:pStyle w:val="Normal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mgr Ewa Czendlik</w:t>
      </w:r>
    </w:p>
    <w:p>
      <w:pPr>
        <w:pStyle w:val="Normal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mgr Renata Madzia</w:t>
      </w:r>
    </w:p>
    <w:p>
      <w:pPr>
        <w:pStyle w:val="Normal"/>
        <w:ind w:left="6372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mgr Dorota Rakus</w:t>
      </w:r>
    </w:p>
    <w:sectPr>
      <w:type w:val="nextPage"/>
      <w:pgSz w:w="11906" w:h="16838"/>
      <w:pgMar w:left="851" w:right="70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0e83"/>
    <w:pPr>
      <w:widowControl/>
      <w:bidi w:val="0"/>
      <w:spacing w:lineRule="auto" w:line="276" w:before="0" w:after="0"/>
      <w:jc w:val="both"/>
    </w:pPr>
    <w:rPr>
      <w:rFonts w:ascii="Calibri" w:hAnsi="Calibri" w:cs="" w:asciiTheme="minorHAnsi" w:cstheme="minorBidi" w:hAnsiTheme="minorHAnsi" w:eastAsia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d0e83"/>
    <w:pPr>
      <w:keepNext w:val="true"/>
      <w:spacing w:before="240" w:after="60"/>
      <w:jc w:val="left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cd0e83"/>
    <w:rPr>
      <w:rFonts w:ascii="Cambria" w:hAnsi="Cambria" w:eastAsia="Times New Roman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22"/>
    <w:qFormat/>
    <w:rsid w:val="00e768c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768c2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cb7f7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504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LibreOffice/7.0.4.2$Windows_X86_64 LibreOffice_project/dcf040e67528d9187c66b2379df5ea4407429775</Application>
  <AppVersion>15.0000</AppVersion>
  <Pages>6</Pages>
  <Words>981</Words>
  <Characters>6562</Characters>
  <CharactersWithSpaces>7347</CharactersWithSpaces>
  <Paragraphs>207</Paragraphs>
  <Company>PRZEDSZKOLE PUBLICZNE NR 3 SKOCZOW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2021-06-22T13:46:00Z</dcterms:created>
  <dc:creator>Admin</dc:creator>
  <dc:description/>
  <dc:language>pl-PL</dc:language>
  <cp:lastModifiedBy/>
  <cp:lastPrinted>2021-06-24T09:41:48Z</cp:lastPrinted>
  <dcterms:modified xsi:type="dcterms:W3CDTF">2021-06-24T09:45:36Z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